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12152500MB1H13167W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锡林郭勒盟工业和信息化局综合保障中心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锡林郭勒盟工业和信息化局综合保障中心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为机关日常运转及后勤提供保障。机关政务服务、政策宣传，全盟工信领域数字统计、分析、监测，协助开展全盟工信领域相关政策、重点课题研究工作。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锡林浩特市锡林大街西段锡盟行署2号楼8楼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程晓君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4</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2.9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锡林郭勒盟工业和信息化局综合保障中心.公益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2023年度，我单位认真贯彻《事业单位登记管理暂行条例》和《事业单位登记管理暂行条例实施细则》及有关法律、法规、政策，按照核准登记的业务范围开展活动，全年无变更。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2023年，我单位在锡盟工业和信息化局的领导下，认真贯彻《事业单位管理登记暂行条例》和有关法律、法规、政策。按照核准登记册业务范围开展活动，主要从事以下工作： 一、开展机关日常运转工作。 一、具体完成了民事诉讼前的法律服务招标代理公司比选工作。经过对5家招标代理公司综合评价，最终选定内蒙古阳光采购服务平台有限责任公司作为我局法律服务招标代理机构，在政府采购网上完成了法律服务招标工作。 二、通过政府采购网发布了采购意向公开和专项法律服务采购项目竞争性磋商公告。经专家评审，中标律所为北京隆安（呼和浩特）律师事务所，并协助中标律所协调相关部门，收集整理有关证据材料和资料，于12月12 日在东乌旗人民法院参加了第一次民事诉讼开庭工作。 三、积极做好本单位的后勤保障工作，协调安排局务和各科室有关会议，对办公用品及时进行维护，对办公耗材及时购进，调度公务用车，保障全局工作整体平稳运行。 四、对办公用房进行了装修改造，建设了标准化档案室，对部分办公家具进行了更新。办公环境得到了明显改善，办公效率得到有效提升。 五、配合自治区节能监察中心对多伦煤化工进行了专项节能监察工作。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张曦</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15249502279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85FA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hps"/>
    <w:basedOn w:val="13"/>
    <w:uiPriority w:val="0"/>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2024-04-10T11:37:36Z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CBF2B4CBB0AB499980091666FDF28047</vt:lpwstr>
  </property>
</Properties>
</file>