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12152500MB1H1563XQ</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锡林郭勒盟能源管理综合行政执法支队</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锡林郭勒盟能源管理综合行政执法支队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依法以盟能源局名义开展行政执法工作。落实能源管理有关法律法规规章，行使能源管理方面行政处罚以及相关执法职能，组织查处辖区内跨区域和重大复杂案件，全盟央企煤矿安全生产日常执法；能源管理综合行政执法体系建设的指导、科技和信息化建设，执法队伍建设和人员培训，违法案件投诉、举报的受理。落实衔接机制、配合做好事项清单梳理和动态调整公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锡林浩特市锡林大街西段华润大厦6楼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段淑成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.1</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锡林郭勒盟能源局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锡林郭勒盟能源管理综合行政执法支队.公益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2023年，我单位严格遵守国家有关法律法规和《事业单位登记管理暂行条例》及其实施细则的规定，按照宗旨和业务范围开展相关活动，没有涉及变更登记的事项，没有违法违规等情况。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2023年，盟能源管理综合行政执法支队深入贯彻落实习近平总书记关于安全生产的重要论述，紧紧围绕国家、自治区、盟委行署关于安全生产的决策部署，按照锡盟能源局的统一安排和年度执法检查计划，深入开展能源行业安全大检查、大整治，各项工作取得积极进展，成效显著。一、执法检查情况今年以来，盟旗两级监管部门检查煤矿312户次，排查隐患2842条，行政处罚42户次，罚款1090.1万元，责令停产停工3户次；检查电力企业840户次，排查隐患4000条，行政处罚13户次，罚款78.5万元；检查油气长输管道企业、场站98户次，排查隐患144条，行政处罚2次，罚款15万元。二、严防严控煤矿安全风险隐患一是大力推动露天煤矿专项整治。新井煤矿事故发生后，盟行署立即安排专项资金380万元，由盟能源局紧急采购，招标中国矿大、吉大和中煤科工沈阳研究院3个国内一流边坡研究机构，对18户露天煤矿开展边坡安全评估。二是盯紧井工煤矿专项整治。始终把井工煤矿作为安全监管的重中之重，先后组织开展了2轮全覆盖的安全评估和重点煤矿专项评估。三是集中开展重大事故隐患专项排查。在企业自查自纠的基础上，采取“四不两直”、明察暗访等方式，开展督导检查62矿次。三、严防严控电力施工和运行风险隐患一是强化运行项目的日常安全监管。开展电力安全隐患大排查大整治，盟旗两级检查电力企业73次；集中开展重大事故隐患专项排查，盟旗两级监管部门检查电力企业95户次；组织开展燃煤电厂脱硫脱硝设备专项检查，盟旗两级监管部门检查7户次。二是集中开展电力施工专项排查整治。采取企业自查、旗县排查、盟级督查相结合的方式同步推进，抽查检查企业10户次。四、严防严控油气长输管道保护风险隐患 组织开展油气长输管道安全隐患大排查大整治，盟旗两级油气管道保护部门全覆盖检查9个油气管道场站、阀室；集中开展油气长输管道重大事故隐患专项排查，检查管道场站32户次。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张树春</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15147998805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2024年03月15日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宋体">
    <w:panose1 w:val="020B0500000000000000"/>
    <w:charset w:val="86"/>
    <w:family w:val="auto"/>
    <w:pitch w:val="variable"/>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65BE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hps"/>
    <w:basedOn w:val="13"/>
    <w:uiPriority w:val="0"/>
  </w:style>
  <w:style w:type="character" w:customStyle="1" w:styleId="18">
    <w:name w:val="font51"/>
    <w:basedOn w:val="13"/>
    <w:uiPriority w:val="0"/>
    <w:rPr>
      <w:rFonts w:hint="eastAsia" w:ascii="黑体" w:hAnsi="宋体" w:eastAsia="黑体" w:cs="黑体"/>
      <w:sz w:val="36"/>
      <w:szCs w:val="24"/>
    </w:rPr>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2024-04-10T11:37:50Z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07BF0E154B03F4108E091666CBC88D0D</vt:lpwstr>
  </property>
</Properties>
</file>