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12152529MB0X635384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正镶白旗自然资源调查规划中心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正镶白旗自然资源调查规划中心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1.承担全旗自然资源基础调查、变更调查、专项调查、动态监测、地理国情监测和分析评价技术支撑工作。 2.承担全旗国土空间规划及相关专项规划的编制、修改、评估与实施保障等技术性、辅助性工作。开展国土空间规划及相关业务社会化咨询服务、科普宣传等辅助性工作。 3.承担全旗测绘地理信息、自然资源调查监测评价的成果汇交和档案资料管理工作，并对其应用、共享提供技术支撑。 4.承担全旗土地矿产资源开发保护体系建设和地质环境、地质遗迹、地质灾害的调查、评价等辅助性工作。 5.承担土地定级、估价指导及成果质量的检查、鉴定、验收评比等辅助性工作。 6.承担自然资源工作成果报告的组织评审备案、工程类项目验收等辅助性工作。承担相关技术规范培训工作。 7.完成旗自然资源局交办的其他工作任务。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吉日嘎拉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4.832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认真贯彻《事业单位登记管理暂行条例》和《事业单位登记管理暂行条例实施细则》及有关法律、法规、政策，按照核准登记的业务范围开展活动，没有涉及变更登记的事项，没有违法违规等情况。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矿山地质环境恢复治理方面。我旗29家在期矿山全部重新编制了《矿山地质环境保护与土地复垦方案》和《2021年矿山地质环境治理计划》，足额缴存了2021年度矿山地质环境保护治理基金888.6万元，计划治理面积0.25平方公里。2021年实际投入治理资金3320.7万元，治理面积1.20平方公里，治理资金投入率和治理面积完成率分别为373.7％和480％，在全盟均排名第一。 历史遗留废弃采坑治理方面。创新方式方法，用足用活国家政策,采取引进社会资金的方式开展治理历史遗留废弃采坑工作，完成治理面积2.31平方公里，并通过了盟级专家初验。2022年1月14日，在全盟绿色矿山及矿山地质环境治理总结视频会上，政府主要领导就我旗引进社会资金治理废弃采坑的成功经验作了典型发言。 绿色矿山建设方面。我旗2021年建成自治区级绿色矿山3家（其中：正镶白旗楚伦昂格其嘎查采石场共投入治理资金366万元，治理面积0.02平方公里；正镶白旗星耀镇南沟村采石场共投入治理资金850万元，治理面积0.03平方公里；内蒙古正镶白旗乾金达矿业有限责任公司投入治理资金637万元，治理面积0.09平方公里）。 国土空间规划编制方面。国土空间总体规划初步成果已通过专家审查并与盟级国土空间规划进行了对接，召开部门征求意见会2次、专家咨询会1次、盟旗对接会2次、自然资源局内审查交流会5次。目前，因受限于自治区、盟级规划未审批，相关指标未下达，三条控制线未最终确定。已完成1个苏木镇国土空间规划编制，正在编制其他4个苏木镇国土空间规划。已完成编制正镶白旗村庄布局规划，2021年列入“应编尽编”村庄规划的19个村庄已全部完成编制，并以全盟唯一满分（满分30分）成绩通过了自治区自然资源厅的专项考核。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关于印发《自然资源局所属事业单位机构职能编制的批复》的通知（白机编办发[2021]9号）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val="en-US"/>
        </w:rPr>
        <w:t>李晨旭</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13204797402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2022年03月15日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10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1426</Words>
  <Characters>1543</Characters>
  <Lines>4</Lines>
  <Paragraphs>1</Paragraphs>
  <TotalTime>1</TotalTime>
  <ScaleCrop>false</ScaleCrop>
  <LinksUpToDate>false</LinksUpToDate>
  <CharactersWithSpaces>1588</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2022-07-27T08:19:15Z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985BDAA808044A64995959998F96C2DF</vt:lpwstr>
  </property>
</Properties>
</file>