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12152529MB1F56683F</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正镶白旗公共资源交易中心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正镶白旗公共资源交易中心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贯彻落实公共资源交易方面的法律法规和政策规定，研究拟订全旗配套公共资源交易制度规则和措施；协调推动全旗各类公共资源平台整合共享，协助行业监管部门依法对公共资源交易及政府采购交易活动进行规范化管理，不断完善全旗公共资源交易的运行管理机制；规范管理全旗公共资源交易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正镶白旗明安图镇308省道北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郭建华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正镶白旗人民政府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正镶白旗公共资源交易中心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严格按照《条例》和实施细则有关变更登记执行。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2021年旗公共资源交易中心在盟公共资源交易中心精心指导帮助和旗委、政府的有力领导支持下，克服不利因素，全力优化营商环境，圆满完成既定的年度目标任务。 一、2021年工作开展情况 （一）体制机制改革顺利完成。2021年3月，按照《正镶白旗公共资源交易中心职能配置、内设机构和人员编制规定》（白党字〔2021〕22号）成立正镶白旗公共资源交易中心（政府采购中心），为旗政府直属公益一类财政全额拨款事业单位，机构规格正科级，主要职责是贯彻落实公共资源交易方面的法律法规和政策规定，承担全旗工程建设、政府采购、自然资源交易等项目的组织实施和服务管理及政府集中采购等相关工作。中心内设3个股室（综合办公室、交易管理股、政府采购股）。核定事业编制8人（党组书记、主任1名，副主任2名，工作人员5名），目前有人员3名，其中主任、副主任各1名，工作人员1名。 （二）公共资源交易有序进行。我中心立足场地尚未建成的实际，加强与盟公共资源交易中心对接联系，借用盟中心场地开展全旗招投标业务。一年来，中心受理招投标业务74项，交易金额2.38亿元，节约资金244.91万元，其中：政府采购55项1.32亿元，节约资金110.45万元，节约率0.83%；工程交易19项1.06亿元，节约资金134.46万元，节约率1.25%。按照《关于加强土地使用权出让网上交易的通知》（内自然资字〔2020〕54号）文件要求，国有土地使用权挂牌出让交易2项，出让土地总面积308192平方米，出让金额共1900万元。 （三）平台标准化建设有效推进。投资2300万元的旗政务及公共资源交易中心业务用房竣工验收，交易中心办公及业务场地面积1386平方米，内设开标室2间、评标室2间，专家休息室6间，办公、档案、监控及抽取专家室等11间；投入140余万元，采购了开评标电子设备、办公家具等。同步我中心依托盟公共资源交易中心，一是统筹疫情防控和业务工作的开展，推进进场项目“不见面”开标，推行交易项目登记网上办理，由“最多跑一次”实现真正意义上的“办事零跑腿”。二是取消资质原件审查，直接引用“信用中国”、“信用内蒙古”诚信信息，有效提高外地投标企业的便利度和满意度；推行告知承诺，实行容缺受理，由多次提交核验变为一次提交核验，切实减轻代理机构和工作人员负担。三是建立交易保证金直退机制，推行电子保函，引导投标企业以保函形式替代缴纳投标保证金，有效减轻投标企业资金周转压力，实施不见面开标。四是严格落实盟公共资源交易中心等七部门联合印发的《关于规范公共资源交易过程中质疑和投诉事项办理流程的通知》（锡公资发〔2021〕40号），为交易全流程质疑投诉提供转办、协助调查、信息公开、通报结果服务，加强与各行业行政监管部门信息互联及沟通协调，提升质疑投诉事项办理实效。 （四）履职尽责能力快速提升。立足新成立单位实际，我中心全力加强自身建设，努力提高服务本领。一是强化理论业务学习。建立了周学习制度，每周五下午召开干部职工学习会议，系统学习了党的十九大和十九届二中、三中、四中、五中、六中全会精神，系统学习了习近平总书记关于内蒙古工作重要讲话重要指示精神，用党的先进理论武装自己、提高自己；认真学习了《中华人民共和国采购法》《中华人民共和国招投标法》《政府采购法实施条例》《中华人民共和国招标投标法实施条例》《政府采购非招标采购方式管理办法》《全区统一集中采购目录及有关政策（2020年版）》《关于进一步加强公共资源交易监督管理工作的意见》等法律法规，有效提高了自身的业务理论水平。二是坚持理论联系实际。扎实开展了履职尽责、社会安全稳定排查整治“百日攻坚”行动，中心干部职工履职尽责能力得到全面提升。为确保公共资源交易中心实现正常运营，我中心组织人员分别赴盟中心、多伦中心进行参观学习，克服中心人员不足困难，派驻2名人员常驻盟交易中心开展业务，同步学习盟中心交易管理、业务受理、档案管理等全流程业务。在此基础上，坚决扛起帮扶责任，按照全旗乡村振兴总体布局，我中心帮扶星耀镇龙王庙村，向该村派驻了1名驻村工作队员，认真开展帮扶工作。三是推进廉政建设。突出交易平台廉政建设，将中心廉政建设与日常业务一同部署、一同推进，经常性咬耳扯袖，常态化开展学习警示教育，全面增强干部职工廉洁自律意识，营造出风清气正的良好环境。在具体业务中，抓住10个交易重点环节、紧盯80个廉政风险点，明确了每一个风险点的责任人、监督人，构建起交易平台全流程廉政风险防控机制。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8"/>
          <w:rFonts w:hint="eastAsia" w:ascii="楷体_GB2312" w:eastAsia="楷体_GB2312" w:cs="楷体_GB2312"/>
          <w:sz w:val="28"/>
          <w:szCs w:val="28"/>
          <w:lang w:val="en-US"/>
        </w:rPr>
        <w:t>李晓</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8"/>
          <w:rFonts w:hint="eastAsia" w:ascii="楷体_GB2312" w:eastAsia="楷体_GB2312" w:cs="楷体_GB2312"/>
          <w:sz w:val="28"/>
          <w:szCs w:val="28"/>
          <w:lang w:val="en-US"/>
        </w:rPr>
        <w:t xml:space="preserve">13674899632  </w:t>
      </w:r>
      <w:r>
        <w:rPr>
          <w:rFonts w:hint="eastAsia" w:ascii="楷体_GB2312" w:eastAsia="楷体_GB2312" w:cs="楷体_GB2312"/>
          <w:b/>
          <w:bCs/>
          <w:sz w:val="28"/>
          <w:szCs w:val="28"/>
          <w:lang w:eastAsia="zh-CN"/>
        </w:rPr>
        <w:t>报送日期：</w:t>
      </w:r>
      <w:r>
        <w:rPr>
          <w:rStyle w:val="18"/>
          <w:rFonts w:hint="eastAsia" w:ascii="楷体_GB2312" w:eastAsia="楷体_GB2312" w:cs="楷体_GB2312"/>
          <w:b/>
          <w:bCs/>
          <w:sz w:val="28"/>
          <w:szCs w:val="28"/>
          <w:lang w:val="en-US"/>
        </w:rPr>
        <w:t>2022年03月01日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E32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2230</Words>
  <Characters>2345</Characters>
  <Lines>4</Lines>
  <Paragraphs>1</Paragraphs>
  <TotalTime>44769.6562500016</TotalTime>
  <ScaleCrop>false</ScaleCrop>
  <LinksUpToDate>false</LinksUpToDate>
  <CharactersWithSpaces>2386</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2022-07-27T08:19:52Z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16C989DFD1AC47048E66544F12B4437D</vt:lpwstr>
  </property>
</Properties>
</file>