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12152529MB1G67391T</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5"/>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正镶白旗交通运输综合行政执法大队</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5"/>
                <w:b/>
                <w:bCs/>
                <w:sz w:val="36"/>
                <w:szCs w:val="24"/>
                <w:bdr w:val="none" w:color="auto" w:sz="0" w:space="0"/>
              </w:rPr>
              <w:t>法</w:t>
            </w:r>
            <w:r>
              <w:rPr>
                <w:rStyle w:val="15"/>
                <w:b/>
                <w:bCs/>
                <w:spacing w:val="30"/>
                <w:sz w:val="36"/>
                <w:szCs w:val="24"/>
                <w:bdr w:val="none" w:color="auto" w:sz="0" w:space="0"/>
              </w:rPr>
              <w:t>定代表</w:t>
            </w:r>
            <w:r>
              <w:rPr>
                <w:rStyle w:val="15"/>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正镶白旗交通运输综合行政执法大队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交通行政执法，依法统一行驶交通运输方面的行政处罚以及与行政处罚相关的行政检查、行政强制措施、行政强制执行等执法职能。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正镶白旗明安图镇超克温都开发区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周禄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26</w:t>
            </w:r>
            <w:r>
              <w:rPr>
                <w:rStyle w:val="20"/>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20"/>
                <w:rFonts w:hint="eastAsia" w:ascii="楷体_GB2312" w:eastAsia="楷体_GB2312" w:cs="楷体_GB2312"/>
                <w:sz w:val="28"/>
                <w:szCs w:val="28"/>
                <w:bdr w:val="none" w:color="auto" w:sz="0" w:space="0"/>
                <w:lang w:val="en-US"/>
              </w:rPr>
              <w:t>正镶白旗交通运输局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sz w:val="32"/>
                <w:szCs w:val="24"/>
                <w:bdr w:val="none" w:color="auto" w:sz="0" w:space="0"/>
                <w:lang w:val="en-US"/>
              </w:rPr>
              <w:t>17.65</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20"/>
                <w:sz w:val="32"/>
                <w:szCs w:val="32"/>
                <w:bdr w:val="none" w:color="auto" w:sz="0" w:space="0"/>
                <w:lang w:val="en-US"/>
              </w:rPr>
              <w:t>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正镶白旗交通运输综合行政执法大队</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按规定执行。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2021年度，我单位在政府及交通运输局的领导下，认真贯彻《事业单位登记管理条例》和有关法律法规、政策，按照核准登记的业务范围开展活动，主要做了以下几方面的工作： 一、公交出租监督监管。一是严厉打击服务不规范，以及拒载、乱收费、兜圈绕行、强行拼客、有证不携带、未经许可擅自改装营运车辆等违法违规经营行为；二是整治运营中公交出租车驾驶员不系安全带、不使用文明用语、接打电话、吸烟等不文明、不规范行为；三是规范车辆车容车貌和车内外清洁卫生；四是依法查处出租车路中上下乘客、节假日及恶劣天气乱涨价等违法违规行为；五是疫情期间每日免费为公交车、出租车进行消杀。加强对公交出租监督检查力度，要求驾驶员营运期间全程佩戴口罩，在乘车前必须要求乘客扫描行程码和健康码，并测体温，同时，驾驶员应要求乘客全程佩戴口罩。六是制定防疫宣传单，宣传防疫信息，要求车辆配备健康码和行程码，在乘客上车前以供乘客扫码。全年累计发放宣传单200余份，张贴宣传海报2张。 二、两客一危一货监督监管。深化“”两客一危一货”普通货物运输车辆日常安全检查和隐患治理，严厉打击非法经营长途客运、旅游客运、农村客运站外揽客、出租车超范围营运等违法违规行为，从源头消除安全隐患。严格执行客运车辆安全例检制度。严格执行“三关一监督”、“三不进站、六不出站”落实各项安全措施，实行封闭式管理。依托交警执法站、超限检测站等路面执勤站点，开展路面联合执法行动，严厉打击“三超一疲劳”违法违规行为和非法运营的“黑车”和整治超载超限货物运输等违规行为。严格落实疫情防控要求，抓紧抓实抓细常态化客运疫情防控工作。 三、打击非法营运车辆。加大力度依法责处“黑车”，即未经许可擅自从事包车，班线客运经营和出租汽车经管的车辆，套用出租汽车牌照，克隆、假冒出租汽车的车辆。重点打击借“私人小客车合乘”（拼车、顺风车）名义从事非法营运行为。 四、驾培维修企业监督监管。一是对辖区内的维修企业做好安全生产检查，加强维修人员的安全教育培训和安全隐患排查，加强对维修设备的维护、维修作业时必须放置安全凳等维修设备确保维修人身安全，营造良好的维修环境；二是进出驾校的人员要进行体温检测及扫码登记，强化教练员的安全教育和职业操守，严防安全事故和在教学中吃拿卡要的现象发生。加强隐患排查整改，企业负责人要紧盯安全不放松，组织好企业内部安全学习，上好每一堂交通安全学习课，做好企业的隐患排查整改工作，确保驾培市场平稳有序发展。 五、存在的主要问题和整改措施 尽管今年在交通运输综合执法工作取得了一定的成绩，但从目前来看，还存在着一些问题：由于机构改革，我大队于2021年重新组建，相关人员变动，工作人员缺失，导致各项工作滞后。同时，缺少专业执法人员和设施设备，使得相关执法监督方面不到位。新鲜血液的缺失，也使得思想上缺少新鲜点子，无法快速上手新的事物，开展工作的创新性不够。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9"/>
          <w:rFonts w:hint="eastAsia" w:ascii="楷体_GB2312" w:eastAsia="楷体_GB2312" w:cs="楷体_GB2312"/>
          <w:sz w:val="28"/>
          <w:szCs w:val="28"/>
          <w:lang w:val="en-US"/>
        </w:rPr>
        <w:t>娜步清</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9"/>
          <w:rFonts w:hint="eastAsia" w:ascii="楷体_GB2312" w:eastAsia="楷体_GB2312" w:cs="楷体_GB2312"/>
          <w:sz w:val="28"/>
          <w:szCs w:val="28"/>
          <w:lang w:val="en-US"/>
        </w:rPr>
        <w:t xml:space="preserve">15047981088  </w:t>
      </w:r>
      <w:r>
        <w:rPr>
          <w:rFonts w:hint="eastAsia" w:ascii="楷体_GB2312" w:eastAsia="楷体_GB2312" w:cs="楷体_GB2312"/>
          <w:b/>
          <w:bCs/>
          <w:sz w:val="28"/>
          <w:szCs w:val="28"/>
          <w:lang w:eastAsia="zh-CN"/>
        </w:rPr>
        <w:t>报送日期：</w:t>
      </w:r>
      <w:r>
        <w:rPr>
          <w:rStyle w:val="19"/>
          <w:rFonts w:hint="eastAsia" w:ascii="楷体_GB2312" w:eastAsia="楷体_GB2312" w:cs="楷体_GB2312"/>
          <w:b/>
          <w:bCs/>
          <w:sz w:val="28"/>
          <w:szCs w:val="28"/>
          <w:lang w:val="en-US"/>
        </w:rPr>
        <w:t>2022年03月24日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143A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font51"/>
    <w:basedOn w:val="13"/>
    <w:uiPriority w:val="0"/>
    <w:rPr>
      <w:rFonts w:hint="eastAsia" w:ascii="黑体" w:hAnsi="宋体" w:eastAsia="黑体" w:cs="黑体"/>
      <w:sz w:val="36"/>
      <w:szCs w:val="24"/>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1570</Words>
  <Characters>1622</Characters>
  <Lines>4</Lines>
  <Paragraphs>1</Paragraphs>
  <TotalTime>44769.6562500016</TotalTime>
  <ScaleCrop>false</ScaleCrop>
  <LinksUpToDate>false</LinksUpToDate>
  <CharactersWithSpaces>1664</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2022-07-27T08:23:32Z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ED194114AD2244B49914424DD93FA7D9</vt:lpwstr>
  </property>
</Properties>
</file>