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12152529MB1K85737N</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正镶白旗网络安全应急指挥中心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正镶白旗网络安全应急指挥中心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贯彻落实党中央关于网络强国战略的方针政策，落实自治区党委、盟委和旗委决策部署，承担旗委网络安全和信息化委员会日常工作；承担涉旗网络意识形态领域舆情监看工作和网上政治有害信息处置的辅助性工作；承担全旗网络安全风险预警和各部门单位网络安全风险隐患排查的辅助性工作；完成旗委宣传部交办的其他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正镶白旗明安图镇朝格温都开发区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王博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30</w:t>
            </w:r>
            <w:r>
              <w:rPr>
                <w:rStyle w:val="14"/>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4"/>
                <w:rFonts w:hint="eastAsia" w:ascii="楷体_GB2312" w:eastAsia="楷体_GB2312" w:cs="楷体_GB2312"/>
                <w:sz w:val="28"/>
                <w:szCs w:val="28"/>
                <w:bdr w:val="none" w:color="auto" w:sz="0" w:space="0"/>
                <w:lang w:val="en-US"/>
              </w:rPr>
              <w:t>中共正镶白旗委员会宣传部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sz w:val="32"/>
                <w:szCs w:val="24"/>
                <w:bdr w:val="none" w:color="auto" w:sz="0" w:space="0"/>
                <w:lang w:val="en-US"/>
              </w:rPr>
              <w:t>30</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4"/>
                <w:sz w:val="32"/>
                <w:szCs w:val="32"/>
                <w:bdr w:val="none" w:color="auto" w:sz="0" w:space="0"/>
                <w:lang w:val="en-US"/>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深入贯彻落实习近平新时代中国特色社会主义思想特别是习近平总书记关于网络强国的战略思想，按照旗委网信委、宣传部部署要求，统筹推进全旗网络安全和信息化工作。一是认真研究部署工作。召开网信委会议和分析研判会议，传达上级有关文件精神，研究部署网络安全和信息化相关工作。二是加强网络宣传和舆论引导。在“正镶白旗宣传平台”开设专题专栏，持续开展习近平新时代中国特色社会主义思想、铸牢中华民族共同体意识、党史学习教育、建党100周年庆祝活动等重大主题网上宣传，并组织全旗网评员积极推送旗内重点新闻信息。三是扎实开展网络安全检查。对全旗各部门单位、各行业领域网络安全状况进行了检查，检查范围覆盖能源、通信、金融、交通、水利、市政、教育、医疗、社保、应急、环保、广播电视、电子政务等重要行业领域，印发了《关于2021年全旗网络安全检查情况的通报》，提出了存在的突出问题和下一步整改建议，并要求相关部门单位按照问题清单限期进行整改。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20"/>
          <w:rFonts w:hint="eastAsia" w:ascii="楷体_GB2312" w:eastAsia="楷体_GB2312" w:cs="楷体_GB2312"/>
          <w:sz w:val="28"/>
          <w:szCs w:val="28"/>
          <w:lang w:val="en-US"/>
        </w:rPr>
        <w:t>王博</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20"/>
          <w:rFonts w:hint="eastAsia" w:ascii="楷体_GB2312" w:eastAsia="楷体_GB2312" w:cs="楷体_GB2312"/>
          <w:sz w:val="28"/>
          <w:szCs w:val="28"/>
          <w:lang w:val="en-US"/>
        </w:rPr>
        <w:t xml:space="preserve">13848591689  </w:t>
      </w:r>
      <w:r>
        <w:rPr>
          <w:rFonts w:hint="eastAsia" w:ascii="楷体_GB2312" w:eastAsia="楷体_GB2312" w:cs="楷体_GB2312"/>
          <w:b/>
          <w:bCs/>
          <w:sz w:val="28"/>
          <w:szCs w:val="28"/>
          <w:lang w:eastAsia="zh-CN"/>
        </w:rPr>
        <w:t>报送日期：</w:t>
      </w:r>
      <w:r>
        <w:rPr>
          <w:rStyle w:val="20"/>
          <w:rFonts w:hint="eastAsia" w:ascii="楷体_GB2312" w:eastAsia="楷体_GB2312" w:cs="楷体_GB2312"/>
          <w:b/>
          <w:bCs/>
          <w:sz w:val="28"/>
          <w:szCs w:val="28"/>
          <w:lang w:val="en-US"/>
        </w:rPr>
        <w:t>2022年03月30日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1"/>
    <w:family w:val="auto"/>
    <w:pitch w:val="variable"/>
    <w:sig w:usb0="E00006FF" w:usb1="420024FF" w:usb2="02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37D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hps"/>
    <w:basedOn w:val="13"/>
    <w:uiPriority w:val="0"/>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859</Words>
  <Characters>904</Characters>
  <Lines>4</Lines>
  <Paragraphs>1</Paragraphs>
  <TotalTime>44769.6562500016</TotalTime>
  <ScaleCrop>false</ScaleCrop>
  <LinksUpToDate>false</LinksUpToDate>
  <CharactersWithSpaces>940</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2022-07-27T08:28:26Z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72E3AF070B4F4AAC976E17E4BFB59E6A</vt:lpwstr>
  </property>
</Properties>
</file>