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12152529MB1K425690</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20"/>
                <w:rFonts w:hint="eastAsia" w:ascii="楷体_GB2312" w:eastAsia="楷体_GB2312" w:cs="楷体_GB2312"/>
                <w:sz w:val="32"/>
                <w:szCs w:val="24"/>
                <w:bdr w:val="none" w:color="auto" w:sz="0" w:space="0"/>
                <w:lang w:val="en-US"/>
              </w:rPr>
              <w:t>正镶白旗科技创新服务中心</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正镶白旗科技创新服务中心（正镶白旗农村牧区工作综合服务中心）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1、承担科学技术发展、区域创新发展等方面调查分析工作。承担科技成果转化、科技培训等综合服务。承担科普宣传、科技服务体系建设、农村牧区科技服务等方面服务工作。 2、承担乡村振兴与农村社区社会事业发展数据分析、信息报送、公共服务体系建设、基础设施建设等日常工作。 3、参与农村牧区人居环境整治及“厕所革命”的规划编制项目管理工作，承担相关技术推广、调研工作。 4、承担农村牧区社会事业宣传培训工作。承担农村牧区固定观察点调查任务。 5、参与土地承包管理、土地流转、适度规模经营等调研相关工作。承担宅基地使用、流转、闲置宅基地和闲置住宅盘活利用等调研相关工作，开展宅基地基本情况和利用情况统计分析。 6、承担农村牧区经营管理情况统计辅助性工作。 7、承担农业综合开发方面的辅助性工作。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正镶白旗明安图镇朝格温都尔开发区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毕奇艳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6</w:t>
            </w:r>
            <w:r>
              <w:rPr>
                <w:rStyle w:val="15"/>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5"/>
                <w:rFonts w:hint="eastAsia" w:ascii="楷体_GB2312" w:eastAsia="楷体_GB2312" w:cs="楷体_GB2312"/>
                <w:sz w:val="28"/>
                <w:szCs w:val="28"/>
                <w:bdr w:val="none" w:color="auto" w:sz="0" w:space="0"/>
                <w:lang w:val="en-US"/>
              </w:rPr>
              <w:t>财政补助（财政全额拨款）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5"/>
                <w:rFonts w:hint="eastAsia" w:ascii="楷体_GB2312" w:eastAsia="楷体_GB2312" w:cs="楷体_GB2312"/>
                <w:sz w:val="28"/>
                <w:szCs w:val="28"/>
                <w:bdr w:val="none" w:color="auto" w:sz="0" w:space="0"/>
                <w:lang w:val="en-US"/>
              </w:rPr>
              <w:t>正镶白旗农牧和科技局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20"/>
                <w:sz w:val="32"/>
                <w:szCs w:val="24"/>
                <w:bdr w:val="none" w:color="auto" w:sz="0" w:space="0"/>
                <w:lang w:val="en-US"/>
              </w:rPr>
              <w:t>3</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5"/>
                <w:sz w:val="32"/>
                <w:szCs w:val="32"/>
                <w:bdr w:val="none" w:color="auto" w:sz="0" w:space="0"/>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正镶白旗科技创新服务中心（正镶白旗农村牧区工作综合服务中心）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20"/>
                <w:sz w:val="32"/>
                <w:szCs w:val="24"/>
                <w:bdr w:val="none" w:color="auto" w:sz="0" w:space="0"/>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按规定执行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5"/>
                <w:rFonts w:hint="eastAsia" w:ascii="楷体_GB2312" w:eastAsia="楷体_GB2312" w:cs="楷体_GB2312"/>
                <w:sz w:val="28"/>
                <w:szCs w:val="24"/>
                <w:bdr w:val="none" w:color="auto" w:sz="0" w:space="0"/>
                <w:lang w:val="en-US"/>
              </w:rPr>
              <w:t xml:space="preserve">一、科技服务工作 1、推广科技特派员工作制度，创新科技特派员服务模式。根据盟科技局制定的《锡林郭勒盟科技特派员工作站聘任认定管理办法试行》文件要求。9月初对全旗16名科技特派员进行了建档立卡，实行动态管理。年底对发挥作用明显、示范带动作用强、完成任务好的优秀科技特派员进行表彰奖励；对考核不合格、不能有效发挥作用的科技特派员及时予以解聘；在实际服务工作中服务质量不高不能胜任工作的科技特派员，下一年度不再聘任。 2、以科技特派员工作站为载体，提升科技特派员组织化服务水平。科技特派员工作站拟建在我中心，以中心为依托，整合科技特派员，精准对接各嘎查村农牧业专业合作社、家庭农牧场、种养殖大户开展线上线下多种科技服务，同时也提升科技特派员组织化服务水平。目前我中心也正在积极申报筹建科技服务机构。 3、申报自治区级众创空间。申报正镶白旗电子商务公共服务中心为自治区级众创空间，盟科技局专家组已对企业申报条件进行核实。通过众创空间的认定将有效提高全旗企业创业能力和管理水平，进一步激发全旗创新创业活力，培育经济发展新动能。 4、广泛征集2022年科技计划项目。按照上级业务部门下发的文件要求，目前正在征集我旗申报的2022年科技项目，收集整理后将按时上报盟科技局，预计有四家企业上报。 二、农牧牧区经营管理工作 1、加快推进集体产权制度改革。2021年10月28日农村牧区集体产权制度改革应完成77个嘎查村，实际完成76个嘎查村1嘎查书记被苏木纪检停职处理无法办理档案工作，同时完成集体经济组织登记赋码76个。成立集体经济合作社21个、集体股份经济合作社55个。按法人治理结构实施管理，截至目前70个嘎查村书记兼任集体经济组织理事长。 2、农牧民专业合作社和家庭牧场不断发展壮大。目前我旗农牧区各类合作社已发展成135个，合作社成员2242人，带动农牧户3600户，占总牧户的25%，服务范围不断延伸，服务实力得到增强。今年我旗5家家庭农牧场发展项目已全部完成并通过验收并且资金全部拨付到位。今年年底将共计完成认定家庭农牧场50个。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4"/>
                <w:bdr w:val="none" w:color="auto" w:sz="0" w:space="0"/>
                <w:lang w:val="en-US"/>
              </w:rPr>
              <w:t>事业单位法人证书、同意社会信用代码12152529MB1K425690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20"/>
          <w:rFonts w:hint="eastAsia" w:ascii="楷体_GB2312" w:eastAsia="楷体_GB2312" w:cs="楷体_GB2312"/>
          <w:sz w:val="28"/>
          <w:szCs w:val="28"/>
          <w:lang w:val="en-US"/>
        </w:rPr>
        <w:t>布仁</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20"/>
          <w:rFonts w:hint="eastAsia" w:ascii="楷体_GB2312" w:eastAsia="楷体_GB2312" w:cs="楷体_GB2312"/>
          <w:sz w:val="28"/>
          <w:szCs w:val="28"/>
          <w:lang w:val="en-US"/>
        </w:rPr>
        <w:t xml:space="preserve">15847986576  </w:t>
      </w:r>
      <w:r>
        <w:rPr>
          <w:rFonts w:hint="eastAsia" w:ascii="楷体_GB2312" w:eastAsia="楷体_GB2312" w:cs="楷体_GB2312"/>
          <w:b/>
          <w:bCs/>
          <w:sz w:val="28"/>
          <w:szCs w:val="28"/>
          <w:lang w:eastAsia="zh-CN"/>
        </w:rPr>
        <w:t>报送日期：</w:t>
      </w:r>
      <w:r>
        <w:rPr>
          <w:rStyle w:val="20"/>
          <w:rFonts w:hint="eastAsia" w:ascii="楷体_GB2312" w:eastAsia="楷体_GB2312" w:cs="楷体_GB2312"/>
          <w:b/>
          <w:bCs/>
          <w:sz w:val="28"/>
          <w:szCs w:val="28"/>
          <w:lang w:val="en-US"/>
        </w:rPr>
        <w:t>2022年02月15日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auto"/>
    <w:pitch w:val="variable"/>
    <w:sig w:usb0="E00006FF" w:usb1="420024FF" w:usb2="02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BF38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font71"/>
    <w:basedOn w:val="13"/>
    <w:uiPriority w:val="0"/>
    <w:rPr>
      <w:rFonts w:hint="default" w:ascii="Times New Roman" w:hAnsi="Times New Roman" w:eastAsia="楷体_GB2312" w:cs="Times New Roman"/>
      <w:sz w:val="28"/>
      <w:szCs w:val="24"/>
    </w:rPr>
  </w:style>
  <w:style w:type="character" w:customStyle="1" w:styleId="16">
    <w:name w:val="hps"/>
    <w:basedOn w:val="13"/>
    <w:uiPriority w:val="0"/>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6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1535</Words>
  <Characters>1616</Characters>
  <Lines>4</Lines>
  <Paragraphs>1</Paragraphs>
  <TotalTime>44769.6562500016</TotalTime>
  <ScaleCrop>false</ScaleCrop>
  <LinksUpToDate>false</LinksUpToDate>
  <CharactersWithSpaces>1665</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落Ψ</cp:lastModifiedBy>
  <dcterms:modified xsi:type="dcterms:W3CDTF">2022-07-27T08:28:52Z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64ED31E4FD2B4A48B0436FB0836C02AC</vt:lpwstr>
  </property>
</Properties>
</file>