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12152529075550453X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正镶白旗民兵训练中心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正镶白旗民兵训练中心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负责民兵训练教学管理、人武部机关工勤和民兵武器装备仓库警卫工作。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1.1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gisy.gov.cn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民兵训练中心贯彻落实党中央关于民兵训练工作的方针政策，落实自治区党委、盟委和旗委决策部署，在履行职责过程中坚持和加强党的全面领导，坚决维护党中央权威和集中统一领导。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（1）执行本单位章程的情况； 按照本单位章程开展年度工作。 （2）按照登记的宗旨和业务范围，开展了哪些具体的业务活动； 负责民兵训练教学管理、人武部机关工勤和民兵武器装备仓库警卫工作。 （3）取得的主要社会效益和经济效益（用数字说明）； 完成年度民兵训练任务。 （4）存在的问题及改进措施和下一步工作思路； 无 （5）其他需要报告的情况。 无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7"/>
          <w:rFonts w:hint="eastAsia" w:ascii="楷体_GB2312" w:eastAsia="楷体_GB2312" w:cs="楷体_GB2312"/>
          <w:sz w:val="28"/>
          <w:szCs w:val="28"/>
          <w:lang w:val="en-US"/>
        </w:rPr>
        <w:t>张春明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7"/>
          <w:rFonts w:hint="eastAsia" w:ascii="楷体_GB2312" w:eastAsia="楷体_GB2312" w:cs="楷体_GB2312"/>
          <w:sz w:val="28"/>
          <w:szCs w:val="28"/>
          <w:lang w:val="en-US"/>
        </w:rPr>
        <w:t xml:space="preserve">13474742311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7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2022年03月30日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33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576</Words>
  <Characters>625</Characters>
  <Lines>4</Lines>
  <Paragraphs>1</Paragraphs>
  <TotalTime>44769.6875000016</TotalTime>
  <ScaleCrop>false</ScaleCrop>
  <LinksUpToDate>false</LinksUpToDate>
  <CharactersWithSpaces>670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2022-07-27T08:32:03Z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0E3664EBB2A84A3F9738E21D733FC55F</vt:lpwstr>
  </property>
</Properties>
</file>