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12152529790160358R</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6"/>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正镶白旗卫生健康综合行政执法大队</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6"/>
                <w:b/>
                <w:bCs/>
                <w:sz w:val="36"/>
                <w:szCs w:val="24"/>
                <w:bdr w:val="none" w:color="auto" w:sz="0" w:space="0"/>
              </w:rPr>
              <w:t>法</w:t>
            </w:r>
            <w:r>
              <w:rPr>
                <w:rStyle w:val="16"/>
                <w:b/>
                <w:bCs/>
                <w:spacing w:val="30"/>
                <w:sz w:val="36"/>
                <w:szCs w:val="24"/>
                <w:bdr w:val="none" w:color="auto" w:sz="0" w:space="0"/>
              </w:rPr>
              <w:t>定代表</w:t>
            </w:r>
            <w:r>
              <w:rPr>
                <w:rStyle w:val="16"/>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正镶白旗卫生健康综合行政执法大队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监督检查卫生健康法律法规等的落实，依法开展公共场所卫生、饮用水卫生、学校卫生、医疗卫生、职业卫生、放射卫生、传染病防治、爱国卫生、计划生育和蒙中医服务等综合行政执法工作并查处违法行为，实施卫生健康领域内的综合行政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正镶白旗明安图镇朝克温都开发区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柳洪波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23.61</w:t>
            </w:r>
            <w:r>
              <w:rPr>
                <w:rStyle w:val="20"/>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20"/>
                <w:rFonts w:hint="eastAsia" w:ascii="楷体_GB2312" w:eastAsia="楷体_GB2312" w:cs="楷体_GB2312"/>
                <w:sz w:val="28"/>
                <w:szCs w:val="28"/>
                <w:bdr w:val="none" w:color="auto" w:sz="0" w:space="0"/>
                <w:lang w:val="en-US"/>
              </w:rPr>
              <w:t>正镶白旗卫生健康委员会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sz w:val="32"/>
                <w:szCs w:val="24"/>
                <w:bdr w:val="none" w:color="auto" w:sz="0" w:space="0"/>
                <w:lang w:val="en-US"/>
              </w:rPr>
              <w:t>540</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20"/>
                <w:sz w:val="32"/>
                <w:szCs w:val="32"/>
                <w:bdr w:val="none" w:color="auto" w:sz="0" w:space="0"/>
                <w:lang w:val="en-US"/>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严格执行《条例》和实施细则相关变更登记规定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（一）依法履职，全力构筑疫情防控卫生监督屏障 根据新冠肺炎疫情发生情况，及时组织安排工作部署会议，并重点从医疗机构院内感染防控、个体诊所及基层医疗机构监管和加强旅店业等公共场所疫情防控检查三个方面开展了卫生监督执法检查工作。医疗机构传染病防治累计监督144家（次），其中，实施卫生行政处罚2家，停业整顿1家、依《传染病防治法》在全旗卫生系统通报批评1家、责令改正31家；针对住宿业、美容理发业和洗浴场所人员流动大的特点，开展了专项卫生监督检查，计监督272家（次），行政处罚8家、停业整顿4家、责令改正55家（次）。 （二）按年初工作计划并根据各规范性文件，卫生监督 执法工作有序开展 1、按年度工作计划和“双随机一公开”抽查计划，完 成监管单位监督检查工作任务，计下达卫生监督意见书594份，办结行政处罚案件15件，其中医疗卫生3件、公共场所8件、职业卫生2件、食品安全2件，处罚款0.44万元。 2、新冠疫苗接种工作专项监督检查计开展6轮次，发 现问题4个，完成整改4个。 3、打击非法行医和规范医疗机构执业行为专项监督检 查工作有序开展。以构建群防群控和消除非法行医“土壤”为目标的“打非”工作宣传“线上线下”齐发力，微信工作群、朋友圈等新媒体宣传、警示、告知和现场监督检查时宣教、“小手拉大手，珍爱生命、请您远离非法行医”进校园活动，收到了良好地社会效果；在现场检查中发现嘎查村卫生室存在违法执业行为两家，均进行了卫生行政处罚，计处罚2家；通过下达催告书及多次现场加电话、微信警示告知的工作努力，完成“一生活美容机构非法开展医疗美容处罚案的第二期、第三期罚没款缴款3万元，已上缴旗国库”工作，该案件2021年12月结案；11月16日召开了多部门参加的“打击非法行医联席会议”，并组织“打非”和打击非法医疗美容服务专项整治“回头看”跟进监督联合检查2轮次。 4、以疫情防控工作中传染病防治监督工作为重点，加 大了医疗机构依法执业特别是落实《医疗机构依法执业自查管理办法》的监督检查力度，在母婴保健和计划生育监督、医疗器械临床使用管理卫生监督方面破除了零执法。 5、按公共场所量化分级管理制度和疫情常态化防控工 作要求，公共场所卫生监督工作持续开展，计监督检查272户次，对因无消毒设施或消毒工作不开展等进行了卫生行政处罚，计处罚8户次。 6、开展了餐饮具集中清洗消毒单位专项检查和食品安 全知识宣传工作。依据《食品安全法》赋予卫生行政部门的工作职责，元月下旬对辖区2家餐饮具集中消毒单位进行了监督检查，针对发现的问题已责令改正，并根据问题整改情况于3月25日组织召开了“餐饮具集中消毒服务单位规范经营约谈会”，制作了约谈提纲提出了具体要求；食品安全法律及相关知识宣传工作，利用3.15国际消费者权益日、全旗爱卫月启动仪式、全旗庆祝建党100周年志愿服务活动及碘缺乏病宣传日等集中宣传4次，发放宣传手册600余册，积极推动着群众食品安全健康素养水平的提升。 7、开展了病原微生物实验室监督检查。4月15日，《中 华人民共和国生物安全法》实施，为增强实验室管理及工作人员安全意识，保障实验室生物安全，根据法律法规及上级文件要求，年度已开展该专项监督检查2轮次，监督检查医疗及疾控机构5家，下达卫生监督意见书9份；针对蒙医院迁新址，疾控中心鼠疫实验室、艾滋病实验室备案到期的情况，在第一时间要求以上两家单位申请实验室执业备案的同时，积极与盟执法支队工作协调并参加了两家机构实验室备案现场审核工作。 8、护航开学季，学校卫生监督工作开展。3月中旬、9 月初两次，对辖区5所中小学、3所幼儿园开展了学校卫生和传染病防控监督检查，针对发现的问题，提出了整改意见，下达卫生监督意见书26份。 9、职业卫生监督工作有序开展。元月下旬，参加了辖区新建企业职业病防护设施设计专家评审会，是新改扩建企业职业卫生“三同时”监督工作的推进和落实；4月中旬，组织开展了辖区风电企业、热力公司职业健康工作开展情况监督检查，对新一年职业健康工作提出了要求；4月25日-5月1日，组织开展了形式多样的第19个《职业病防治法》宣传周，通过宣教推进企业落实职业病防治主体责任效果明显；6月10日组织举办了为期一天的“全旗2021年职业病防治法律法规知识培训班”，培训的同时对2021年我旗职业健康管理重点工作进行了安排；6月中旬开始，依年度工作计划陆续开展厂矿企业职业卫生监督检查并于8月下旬完成监督全覆盖，对发现的1家非煤矿山未履行职业卫生“三同时”义务和1家热力公司违反《职业病防治法》情形给予了警告的行政处罚并责令限期改正，现已完成整改。11月24 日，组织各厂矿企业负责人开展了“2021年度职业病防治工作经验交流暨职业卫生知识培训进企业活动”，计19家企业、23人来到乾金达矿业参加了此次活动，收到了很好地工作效果。 10、积极安排部署卫生健康监督协管工作。根据自治区 卫健委《关于做好卫生健康监督协管员、监督员和协管员网络培训系统运行工作的通知》，4月6日举办了全旗卫生健康监督协管工作培训班。总结了2020年协管工作，分析指出了工作中的薄弱环节并对2021年卫生健康监督协管工作进行了详细的工作安排。 11、“双随机一公开”工作按要求规范开展。根据监管 单位动态变化和卫生监督员岗位调整情况，进一步建立健全了“一单两库”，并于3月下旬和10月中旬按抽查工作计划完成了“双随机一公开”内部检查和联合公安、市场监管、文化市场管理等联合抽查2轮次。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9"/>
          <w:rFonts w:hint="eastAsia" w:ascii="楷体_GB2312" w:eastAsia="楷体_GB2312" w:cs="楷体_GB2312"/>
          <w:sz w:val="28"/>
          <w:szCs w:val="28"/>
          <w:lang w:val="en-US"/>
        </w:rPr>
        <w:t>梁润梅</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9"/>
          <w:rFonts w:hint="eastAsia" w:ascii="楷体_GB2312" w:eastAsia="楷体_GB2312" w:cs="楷体_GB2312"/>
          <w:sz w:val="28"/>
          <w:szCs w:val="28"/>
          <w:lang w:val="en-US"/>
        </w:rPr>
        <w:t xml:space="preserve">18247940256  </w:t>
      </w:r>
      <w:r>
        <w:rPr>
          <w:rFonts w:hint="eastAsia" w:ascii="楷体_GB2312" w:eastAsia="楷体_GB2312" w:cs="楷体_GB2312"/>
          <w:b/>
          <w:bCs/>
          <w:sz w:val="28"/>
          <w:szCs w:val="28"/>
          <w:lang w:eastAsia="zh-CN"/>
        </w:rPr>
        <w:t>报送日期：</w:t>
      </w:r>
      <w:r>
        <w:rPr>
          <w:rStyle w:val="19"/>
          <w:rFonts w:hint="eastAsia" w:ascii="楷体_GB2312" w:eastAsia="楷体_GB2312" w:cs="楷体_GB2312"/>
          <w:b/>
          <w:bCs/>
          <w:sz w:val="28"/>
          <w:szCs w:val="28"/>
          <w:lang w:val="en-US"/>
        </w:rPr>
        <w:t>2022年01月24日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6FF" w:usb1="420024FF" w:usb2="02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112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font51"/>
    <w:basedOn w:val="13"/>
    <w:uiPriority w:val="0"/>
    <w:rPr>
      <w:rFonts w:hint="eastAsia" w:ascii="黑体" w:hAnsi="宋体" w:eastAsia="黑体" w:cs="黑体"/>
      <w:sz w:val="36"/>
      <w:szCs w:val="24"/>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7</Pages>
  <Words>2626</Words>
  <Characters>2726</Characters>
  <Lines>4</Lines>
  <Paragraphs>1</Paragraphs>
  <TotalTime>44769.6875000016</TotalTime>
  <ScaleCrop>false</ScaleCrop>
  <LinksUpToDate>false</LinksUpToDate>
  <CharactersWithSpaces>2787</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2022-07-27T08:42:58Z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27F9EED6BA624747B4D2B9A949E145A4</vt:lpwstr>
  </property>
</Properties>
</file>